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78CC" w14:textId="0A654DF7" w:rsidR="004D26B1" w:rsidRPr="004D26B1" w:rsidRDefault="00F74CF4" w:rsidP="00B711AF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1E5D95"/>
          <w:sz w:val="46"/>
          <w:szCs w:val="46"/>
          <w:lang w:val="de-DE"/>
        </w:rPr>
      </w:pPr>
      <w:r w:rsidRPr="00B21A3D">
        <w:rPr>
          <w:b/>
          <w:color w:val="1E5D95"/>
          <w:sz w:val="46"/>
          <w:szCs w:val="46"/>
          <w:lang w:val="de-DE"/>
        </w:rPr>
        <w:t xml:space="preserve">Arbeitsblatt </w:t>
      </w:r>
      <w:r>
        <w:rPr>
          <w:b/>
          <w:color w:val="1E5D95"/>
          <w:sz w:val="46"/>
          <w:szCs w:val="46"/>
          <w:lang w:val="de-DE"/>
        </w:rPr>
        <w:t>2</w:t>
      </w:r>
      <w:r w:rsidRPr="00B21A3D">
        <w:rPr>
          <w:b/>
          <w:color w:val="1E5D95"/>
          <w:sz w:val="46"/>
          <w:szCs w:val="46"/>
          <w:lang w:val="de-DE"/>
        </w:rPr>
        <w:t xml:space="preserve">: Quantenschaltkreis-Simulator – </w:t>
      </w:r>
      <w:r w:rsidR="00DB3619">
        <w:rPr>
          <w:b/>
          <w:color w:val="1E5D95"/>
          <w:sz w:val="46"/>
          <w:szCs w:val="46"/>
          <w:lang w:val="de-DE"/>
        </w:rPr>
        <w:t xml:space="preserve"> </w:t>
      </w:r>
      <w:r w:rsidRPr="00B21A3D">
        <w:rPr>
          <w:b/>
          <w:color w:val="1E5D95"/>
          <w:sz w:val="46"/>
          <w:szCs w:val="46"/>
          <w:lang w:val="de-DE"/>
        </w:rPr>
        <w:t>für</w:t>
      </w:r>
      <w:r>
        <w:rPr>
          <w:b/>
          <w:color w:val="1E5D95"/>
          <w:sz w:val="46"/>
          <w:szCs w:val="46"/>
          <w:lang w:val="de-DE"/>
        </w:rPr>
        <w:t xml:space="preserve"> Fortgeschrittene</w:t>
      </w:r>
      <w:bookmarkStart w:id="0" w:name="_heading=h.pi0buo3yz7jv" w:colFirst="0" w:colLast="0"/>
      <w:bookmarkEnd w:id="0"/>
    </w:p>
    <w:p w14:paraId="17DA1574" w14:textId="0F2E59EC" w:rsidR="00F74CF4" w:rsidRPr="00C255EB" w:rsidRDefault="00F74CF4" w:rsidP="0027724A">
      <w:pPr>
        <w:rPr>
          <w:lang w:val="de-DE"/>
        </w:rPr>
      </w:pPr>
      <w:r w:rsidRPr="00C255EB">
        <w:rPr>
          <w:lang w:val="de-DE"/>
        </w:rPr>
        <w:t>Nachdem du nun mit Quantenschaltkreis-Simulatoren vertraut bist, kommen hier einige Herausforderungen:</w:t>
      </w:r>
    </w:p>
    <w:p w14:paraId="2475D38A" w14:textId="77777777" w:rsidR="00F74CF4" w:rsidRPr="00C255EB" w:rsidRDefault="00F74CF4" w:rsidP="00DD6B2D">
      <w:pPr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ind w:left="357" w:hanging="357"/>
        <w:rPr>
          <w:b/>
          <w:color w:val="1F5D96"/>
          <w:sz w:val="28"/>
          <w:szCs w:val="28"/>
          <w:lang w:val="de-DE"/>
        </w:rPr>
      </w:pPr>
      <w:r w:rsidRPr="00C255EB">
        <w:rPr>
          <w:b/>
          <w:color w:val="1F5D96"/>
          <w:sz w:val="28"/>
          <w:szCs w:val="28"/>
          <w:lang w:val="de-DE"/>
        </w:rPr>
        <w:t>Aktivität 1: Verwende die Quantum Machine mit zwei Qubits (2-Qubit-System).</w:t>
      </w:r>
    </w:p>
    <w:p w14:paraId="57412B26" w14:textId="591A89DE" w:rsidR="00F74CF4" w:rsidRPr="00D534F1" w:rsidRDefault="00D534F1" w:rsidP="006C5CF8">
      <w:pPr>
        <w:keepNext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tLeast"/>
        <w:ind w:left="697" w:hanging="357"/>
        <w:rPr>
          <w:lang w:val="de-DE"/>
        </w:rPr>
      </w:pPr>
      <w:r>
        <w:rPr>
          <w:lang w:val="de-DE"/>
        </w:rPr>
        <w:t>Schaue d</w:t>
      </w:r>
      <w:r w:rsidR="00F74CF4" w:rsidRPr="00D534F1">
        <w:rPr>
          <w:lang w:val="de-DE"/>
        </w:rPr>
        <w:t>ir das Tutorial des Q-Bots zum NICHT-Gatter an, um mehr über 2-Qubit-Systeme zu erfahren</w:t>
      </w:r>
      <w:r w:rsidR="001E3614">
        <w:rPr>
          <w:lang w:val="de-DE"/>
        </w:rPr>
        <w:t>.</w:t>
      </w:r>
    </w:p>
    <w:p w14:paraId="7A213EB9" w14:textId="77777777" w:rsidR="00F74CF4" w:rsidRPr="00C255EB" w:rsidRDefault="00F74CF4" w:rsidP="006C5CF8">
      <w:pPr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tLeast"/>
        <w:ind w:left="357" w:hanging="357"/>
        <w:rPr>
          <w:b/>
          <w:color w:val="1F5D96"/>
          <w:sz w:val="28"/>
          <w:szCs w:val="28"/>
          <w:lang w:val="de-DE"/>
        </w:rPr>
      </w:pPr>
      <w:r w:rsidRPr="00C255EB">
        <w:rPr>
          <w:b/>
          <w:color w:val="1F5D96"/>
          <w:sz w:val="28"/>
          <w:szCs w:val="28"/>
          <w:lang w:val="de-DE"/>
        </w:rPr>
        <w:t>Aktivität 2: Wende ein Hadamard-Gatter auf ein Qubit an.</w:t>
      </w:r>
    </w:p>
    <w:p w14:paraId="0F330144" w14:textId="6B3B63A7" w:rsidR="00856901" w:rsidRPr="001F0FA6" w:rsidRDefault="001F0FA6" w:rsidP="00856901">
      <w:pPr>
        <w:keepNext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697" w:hanging="357"/>
        <w:rPr>
          <w:lang w:val="de-DE"/>
        </w:rPr>
      </w:pPr>
      <w:bookmarkStart w:id="1" w:name="_heading=h.fx8jqoaymkbl" w:colFirst="0" w:colLast="0"/>
      <w:bookmarkEnd w:id="1"/>
      <w:r>
        <w:rPr>
          <w:lang w:val="de-DE"/>
        </w:rPr>
        <w:t>Ö</w:t>
      </w:r>
      <w:r w:rsidRPr="001F0FA6">
        <w:rPr>
          <w:lang w:val="de-DE"/>
        </w:rPr>
        <w:t>ffne den</w:t>
      </w:r>
      <w:r w:rsidR="00856901" w:rsidRPr="001F0FA6">
        <w:rPr>
          <w:lang w:val="de-DE"/>
        </w:rPr>
        <w:t xml:space="preserve"> </w:t>
      </w:r>
      <w:hyperlink r:id="rId11">
        <w:r w:rsidR="00856901" w:rsidRPr="001F0FA6">
          <w:rPr>
            <w:u w:val="single"/>
            <w:lang w:val="de-DE"/>
          </w:rPr>
          <w:t>IBM Quantum Composer</w:t>
        </w:r>
      </w:hyperlink>
      <w:r w:rsidR="00856901" w:rsidRPr="001F0FA6">
        <w:rPr>
          <w:u w:val="single"/>
          <w:lang w:val="de-DE"/>
        </w:rPr>
        <w:t>.</w:t>
      </w:r>
    </w:p>
    <w:p w14:paraId="32C44C0B" w14:textId="17D01C1C" w:rsidR="00856901" w:rsidRPr="004D26B1" w:rsidRDefault="001F0FA6" w:rsidP="00856901">
      <w:pPr>
        <w:keepNext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697" w:hanging="357"/>
        <w:rPr>
          <w:lang w:val="de-DE"/>
        </w:rPr>
      </w:pPr>
      <w:r w:rsidRPr="004D26B1">
        <w:rPr>
          <w:lang w:val="de-DE"/>
        </w:rPr>
        <w:t>Verwende den folgenden</w:t>
      </w:r>
      <w:r w:rsidR="00856901" w:rsidRPr="004D26B1">
        <w:rPr>
          <w:lang w:val="de-DE"/>
        </w:rPr>
        <w:t xml:space="preserve"> OpenQASM 2.0 code</w:t>
      </w:r>
      <w:r w:rsidR="00856901" w:rsidRPr="00780CB2">
        <w:rPr>
          <w:rStyle w:val="Endnotenzeichen"/>
        </w:rPr>
        <w:endnoteReference w:id="1"/>
      </w:r>
      <w:r w:rsidR="00856901" w:rsidRPr="004D26B1">
        <w:rPr>
          <w:lang w:val="de-DE"/>
        </w:rPr>
        <w:t>:</w:t>
      </w:r>
    </w:p>
    <w:tbl>
      <w:tblPr>
        <w:tblpPr w:leftFromText="141" w:rightFromText="141" w:vertAnchor="text" w:horzAnchor="margin" w:tblpXSpec="center" w:tblpY="-74"/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F74CF4" w:rsidRPr="00C255EB" w14:paraId="36536005" w14:textId="77777777" w:rsidTr="002A320C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AEE7" w14:textId="77777777" w:rsidR="00F74CF4" w:rsidRPr="00F74CF4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</w:pPr>
            <w:r w:rsidRPr="00F74CF4"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  <w:t>OPENQASM 2.0;</w:t>
            </w:r>
          </w:p>
          <w:p w14:paraId="199ECD14" w14:textId="77777777" w:rsidR="00F74CF4" w:rsidRPr="00F74CF4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</w:pPr>
            <w:r w:rsidRPr="00F74CF4"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  <w:t>include "qelib1.inc";</w:t>
            </w:r>
          </w:p>
          <w:p w14:paraId="7C2E4729" w14:textId="77777777" w:rsidR="00F74CF4" w:rsidRPr="00F74CF4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</w:pPr>
          </w:p>
          <w:p w14:paraId="166CFA5D" w14:textId="77777777" w:rsidR="00F74CF4" w:rsidRPr="00F74CF4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</w:pPr>
            <w:r w:rsidRPr="00F74CF4"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  <w:t>qreg q[1];</w:t>
            </w:r>
          </w:p>
          <w:p w14:paraId="6DCD8F09" w14:textId="77777777" w:rsidR="00F74CF4" w:rsidRPr="00F74CF4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</w:rPr>
            </w:pPr>
          </w:p>
          <w:p w14:paraId="01F53087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  <w:r w:rsidRPr="00C255EB"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  <w:t>h q[0];</w:t>
            </w:r>
          </w:p>
        </w:tc>
      </w:tr>
    </w:tbl>
    <w:p w14:paraId="37976368" w14:textId="77777777" w:rsidR="00F74CF4" w:rsidRPr="00B711AF" w:rsidRDefault="00F74CF4" w:rsidP="00B711AF">
      <w:pPr>
        <w:pStyle w:val="berschrift2"/>
        <w:numPr>
          <w:ilvl w:val="1"/>
          <w:numId w:val="12"/>
        </w:numPr>
        <w:tabs>
          <w:tab w:val="num" w:pos="720"/>
        </w:tabs>
        <w:spacing w:after="240" w:line="240" w:lineRule="atLeast"/>
        <w:ind w:left="697" w:hanging="357"/>
        <w:rPr>
          <w:b w:val="0"/>
          <w:bCs w:val="0"/>
          <w:color w:val="auto"/>
          <w:sz w:val="21"/>
          <w:szCs w:val="21"/>
          <w:lang w:val="de-DE"/>
        </w:rPr>
      </w:pPr>
      <w:r w:rsidRPr="00B711AF">
        <w:rPr>
          <w:b w:val="0"/>
          <w:bCs w:val="0"/>
          <w:color w:val="auto"/>
          <w:sz w:val="21"/>
          <w:szCs w:val="21"/>
          <w:lang w:val="de-DE"/>
        </w:rPr>
        <w:t>Beschreibe die berechneten Wahrscheinlichkeiten, wenn ein Hadamard-Gatter auf ein Qubit angewendet wird (probiere beides aus: ein Qubit im Zustand |0</w:t>
      </w:r>
      <w:r w:rsidRPr="00B711AF">
        <w:rPr>
          <w:b w:val="0"/>
          <w:bCs w:val="0"/>
          <w:color w:val="auto"/>
          <w:sz w:val="21"/>
          <w:szCs w:val="21"/>
          <w:lang w:val="de-DE"/>
        </w:rPr>
        <w:sym w:font="Symbol" w:char="F0F1"/>
      </w:r>
      <w:r w:rsidRPr="00B711AF">
        <w:rPr>
          <w:b w:val="0"/>
          <w:bCs w:val="0"/>
          <w:color w:val="auto"/>
          <w:sz w:val="21"/>
          <w:szCs w:val="21"/>
          <w:lang w:val="de-DE"/>
        </w:rPr>
        <w:t xml:space="preserve"> und ein Qubit im Zustand |1</w:t>
      </w:r>
      <w:r w:rsidRPr="00B711AF">
        <w:rPr>
          <w:b w:val="0"/>
          <w:bCs w:val="0"/>
          <w:color w:val="auto"/>
          <w:sz w:val="21"/>
          <w:szCs w:val="21"/>
          <w:lang w:val="de-DE"/>
        </w:rPr>
        <w:sym w:font="Symbol" w:char="F0F1"/>
      </w:r>
      <w:r w:rsidRPr="00B711AF">
        <w:rPr>
          <w:b w:val="0"/>
          <w:bCs w:val="0"/>
          <w:color w:val="auto"/>
          <w:sz w:val="21"/>
          <w:szCs w:val="21"/>
          <w:lang w:val="de-DE"/>
        </w:rPr>
        <w:t>).</w:t>
      </w:r>
    </w:p>
    <w:tbl>
      <w:tblPr>
        <w:tblpPr w:leftFromText="141" w:rightFromText="141" w:vertAnchor="text" w:horzAnchor="margin" w:tblpXSpec="center" w:tblpY="-74"/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F74CF4" w:rsidRPr="00F74CF4" w14:paraId="6F3388DA" w14:textId="77777777" w:rsidTr="002A320C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511E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  <w:p w14:paraId="70ADB88C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  <w:p w14:paraId="538DCC18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  <w:p w14:paraId="01DB8AAA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  <w:p w14:paraId="5E635C58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  <w:p w14:paraId="24DA8BD7" w14:textId="77777777" w:rsidR="00F74CF4" w:rsidRPr="00C255EB" w:rsidRDefault="00F74CF4" w:rsidP="002A320C">
            <w:pPr>
              <w:keepNext/>
              <w:spacing w:before="240" w:after="60" w:line="240" w:lineRule="auto"/>
              <w:ind w:left="720"/>
              <w:rPr>
                <w:rFonts w:ascii="Courier New" w:eastAsia="Courier New" w:hAnsi="Courier New" w:cs="Courier New"/>
                <w:color w:val="1F5D96"/>
                <w:sz w:val="24"/>
                <w:szCs w:val="24"/>
                <w:lang w:val="de-DE"/>
              </w:rPr>
            </w:pPr>
          </w:p>
        </w:tc>
      </w:tr>
    </w:tbl>
    <w:p w14:paraId="2715F38E" w14:textId="77777777" w:rsidR="00F74CF4" w:rsidRPr="00C255EB" w:rsidRDefault="00F74CF4" w:rsidP="00DD6B2D">
      <w:pPr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357" w:hanging="357"/>
        <w:rPr>
          <w:b/>
          <w:color w:val="1F5D96"/>
          <w:sz w:val="28"/>
          <w:szCs w:val="28"/>
          <w:lang w:val="de-DE"/>
        </w:rPr>
      </w:pPr>
      <w:r w:rsidRPr="00C255EB">
        <w:rPr>
          <w:b/>
          <w:color w:val="1F5D96"/>
          <w:sz w:val="28"/>
          <w:szCs w:val="28"/>
          <w:lang w:val="de-DE"/>
        </w:rPr>
        <w:lastRenderedPageBreak/>
        <w:t xml:space="preserve">Aktivität 3: </w:t>
      </w:r>
      <w:r w:rsidRPr="00C255EB">
        <w:rPr>
          <w:lang w:val="de-DE"/>
        </w:rPr>
        <w:t xml:space="preserve"> </w:t>
      </w:r>
      <w:r w:rsidRPr="00C255EB">
        <w:rPr>
          <w:b/>
          <w:color w:val="1F5D96"/>
          <w:sz w:val="28"/>
          <w:szCs w:val="28"/>
          <w:lang w:val="de-DE"/>
        </w:rPr>
        <w:t>Wende ein CNOT-Gatter an, nachdem du ein Hadamard-Gatter angewandt hast.</w:t>
      </w:r>
    </w:p>
    <w:p w14:paraId="102D58D8" w14:textId="77777777" w:rsidR="00F74CF4" w:rsidRPr="00B711AF" w:rsidRDefault="00F74CF4" w:rsidP="00DD6B2D">
      <w:pPr>
        <w:keepNext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97" w:hanging="357"/>
        <w:rPr>
          <w:bCs/>
          <w:lang w:val="de-DE"/>
        </w:rPr>
      </w:pPr>
      <w:r w:rsidRPr="00B711AF">
        <w:rPr>
          <w:bCs/>
          <w:lang w:val="de-DE"/>
        </w:rPr>
        <w:t xml:space="preserve">Öffne den </w:t>
      </w:r>
      <w:hyperlink r:id="rId12">
        <w:r w:rsidRPr="00B711AF">
          <w:rPr>
            <w:bCs/>
            <w:u w:val="single"/>
            <w:lang w:val="de-DE"/>
          </w:rPr>
          <w:t>IBM Quantum Composer</w:t>
        </w:r>
      </w:hyperlink>
      <w:r w:rsidRPr="00B711AF">
        <w:rPr>
          <w:bCs/>
          <w:u w:val="single"/>
          <w:lang w:val="de-DE"/>
        </w:rPr>
        <w:t>.</w:t>
      </w:r>
    </w:p>
    <w:p w14:paraId="36B60A2C" w14:textId="77777777" w:rsidR="00F74CF4" w:rsidRPr="00B711AF" w:rsidRDefault="00F74CF4" w:rsidP="00DD6B2D">
      <w:pPr>
        <w:keepNext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tLeast"/>
        <w:ind w:left="697" w:hanging="357"/>
        <w:rPr>
          <w:bCs/>
          <w:lang w:val="de-DE"/>
        </w:rPr>
      </w:pPr>
      <w:r w:rsidRPr="00B711AF">
        <w:rPr>
          <w:bCs/>
          <w:lang w:val="de-DE"/>
        </w:rPr>
        <w:t>Verwende den folgenden OpenQASM 2.0-Code: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F74CF4" w14:paraId="5A61CA1D" w14:textId="77777777" w:rsidTr="002A320C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-1535344148"/>
              <w:lock w:val="contentLocked"/>
            </w:sdtPr>
            <w:sdtContent>
              <w:p w14:paraId="00B0FA34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8D8D8D"/>
                  </w:rPr>
                  <w:t>OPENQASM 2.0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;</w:t>
                </w:r>
              </w:p>
              <w:p w14:paraId="207B438E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7D79"/>
                  </w:rPr>
                  <w:t>include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D02670"/>
                  </w:rPr>
                  <w:t>"qelib1.inc"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;</w:t>
                </w:r>
              </w:p>
              <w:p w14:paraId="33DB6DF0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</w:p>
              <w:p w14:paraId="04155CE1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7D79"/>
                  </w:rPr>
                  <w:t>qreg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  <w:p w14:paraId="4298E6E9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</w:rPr>
                </w:pPr>
                <w:r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  <w:p w14:paraId="7EDF5F8E" w14:textId="77777777" w:rsidR="00F74CF4" w:rsidRDefault="00F74CF4" w:rsidP="002A320C">
                <w:pPr>
                  <w:keepNext/>
                  <w:shd w:val="clear" w:color="auto" w:fill="FFFFFE"/>
                  <w:spacing w:before="240" w:after="60" w:line="36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0043CE"/>
                  </w:rPr>
                  <w:t>cx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 xml:space="preserve">], </w:t>
                </w:r>
                <w:r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[</w:t>
                </w:r>
                <w:r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>
                  <w:rPr>
                    <w:rFonts w:ascii="Courier New" w:eastAsia="Courier New" w:hAnsi="Courier New" w:cs="Courier New"/>
                    <w:color w:val="1F5D96"/>
                  </w:rPr>
                  <w:t>];</w:t>
                </w:r>
              </w:p>
            </w:sdtContent>
          </w:sdt>
        </w:tc>
      </w:tr>
    </w:tbl>
    <w:p w14:paraId="74939A5E" w14:textId="77777777" w:rsidR="00F74CF4" w:rsidRPr="00DD6B2D" w:rsidRDefault="00F74CF4" w:rsidP="00DD6B2D">
      <w:pPr>
        <w:keepNext/>
        <w:numPr>
          <w:ilvl w:val="1"/>
          <w:numId w:val="12"/>
        </w:numPr>
        <w:spacing w:before="240" w:after="60"/>
        <w:ind w:left="697" w:hanging="357"/>
        <w:rPr>
          <w:bCs/>
          <w:lang w:val="de-DE"/>
        </w:rPr>
      </w:pPr>
      <w:r w:rsidRPr="00DD6B2D">
        <w:rPr>
          <w:bCs/>
          <w:lang w:val="de-DE"/>
        </w:rPr>
        <w:t>Beschreibe Schritt für Schritt, was diese Code-Zeilen für ein Qubit im Zustand |0</w:t>
      </w:r>
      <w:r w:rsidRPr="00DD6B2D">
        <w:rPr>
          <w:bCs/>
          <w:lang w:val="de-DE"/>
        </w:rPr>
        <w:sym w:font="Symbol" w:char="F0F1"/>
      </w:r>
      <w:r w:rsidRPr="00DD6B2D">
        <w:rPr>
          <w:bCs/>
          <w:lang w:val="de-DE"/>
        </w:rPr>
        <w:t xml:space="preserve"> bewirken.</w:t>
      </w:r>
    </w:p>
    <w:tbl>
      <w:tblPr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8"/>
      </w:tblGrid>
      <w:tr w:rsidR="00F74CF4" w14:paraId="0A8788F2" w14:textId="77777777" w:rsidTr="002A320C">
        <w:tc>
          <w:tcPr>
            <w:tcW w:w="8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-1685509780"/>
              <w:lock w:val="contentLocked"/>
            </w:sdtPr>
            <w:sdtContent>
              <w:p w14:paraId="5D95EE33" w14:textId="77777777" w:rsidR="00F74CF4" w:rsidRDefault="00F74CF4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5BE003A6" w14:textId="77777777" w:rsidR="00F74CF4" w:rsidRDefault="00F74CF4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3BF8F170" w14:textId="77777777" w:rsidR="00F74CF4" w:rsidRDefault="00F74CF4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5853325F" w14:textId="77777777" w:rsidR="00F74CF4" w:rsidRDefault="00F74CF4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0AC05ACE" w14:textId="77777777" w:rsidR="00F74CF4" w:rsidRDefault="00F74CF4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  <w:p w14:paraId="106840B8" w14:textId="77777777" w:rsidR="00F74CF4" w:rsidRDefault="00000000" w:rsidP="002A320C">
                <w:pPr>
                  <w:keepNext/>
                  <w:spacing w:before="240" w:after="60" w:line="240" w:lineRule="auto"/>
                  <w:ind w:left="720"/>
                  <w:rPr>
                    <w:rFonts w:ascii="Courier New" w:eastAsia="Courier New" w:hAnsi="Courier New" w:cs="Courier New"/>
                    <w:color w:val="1F5D96"/>
                    <w:sz w:val="24"/>
                    <w:szCs w:val="24"/>
                  </w:rPr>
                </w:pPr>
              </w:p>
            </w:sdtContent>
          </w:sdt>
        </w:tc>
      </w:tr>
    </w:tbl>
    <w:p w14:paraId="53EE6DFF" w14:textId="3D571785" w:rsidR="000F6590" w:rsidRDefault="00F74CF4" w:rsidP="00DD6B2D">
      <w:pPr>
        <w:keepNext/>
        <w:numPr>
          <w:ilvl w:val="1"/>
          <w:numId w:val="12"/>
        </w:numPr>
        <w:spacing w:before="240" w:after="60"/>
        <w:ind w:left="697" w:hanging="357"/>
        <w:rPr>
          <w:bCs/>
          <w:lang w:val="de-DE"/>
        </w:rPr>
      </w:pPr>
      <w:r w:rsidRPr="00DD6B2D">
        <w:rPr>
          <w:bCs/>
          <w:lang w:val="de-DE"/>
        </w:rPr>
        <w:t>Beschreibe den Unterschied zwischen Aktivität 2 (ein Hadamard-Gatter wird auf ein Qubit angewendet, es ist nur ein Qubit erforderlich) und dieser Aktivität (ein Hadamard-Gatter wird auf ein Qubit angewendet, und anschließend wird ein CNOT-Gatter auf das resultierende Qubit angewendet; für diesen Vorgang wird ein zweites Qubit, das Kontroll-Qubit, benötigt).</w:t>
      </w:r>
    </w:p>
    <w:p w14:paraId="3BB77E8B" w14:textId="77777777" w:rsidR="008C5DB3" w:rsidRDefault="008C5DB3" w:rsidP="008C5DB3">
      <w:pPr>
        <w:keepNext/>
        <w:spacing w:before="240" w:after="60"/>
        <w:rPr>
          <w:bCs/>
          <w:lang w:val="de-DE"/>
        </w:rPr>
      </w:pPr>
    </w:p>
    <w:p w14:paraId="53948B08" w14:textId="77777777" w:rsidR="008C5DB3" w:rsidRDefault="008C5DB3" w:rsidP="008C5DB3">
      <w:pPr>
        <w:keepNext/>
        <w:spacing w:before="240" w:after="60"/>
        <w:rPr>
          <w:bCs/>
          <w:lang w:val="de-DE"/>
        </w:rPr>
      </w:pPr>
    </w:p>
    <w:p w14:paraId="6FC9E2F5" w14:textId="77777777" w:rsidR="008C5DB3" w:rsidRPr="00DD6B2D" w:rsidRDefault="008C5DB3" w:rsidP="008C5DB3">
      <w:pPr>
        <w:keepNext/>
        <w:spacing w:before="240" w:after="60"/>
        <w:rPr>
          <w:bCs/>
          <w:lang w:val="de-DE"/>
        </w:rPr>
      </w:pPr>
    </w:p>
    <w:sectPr w:rsidR="008C5DB3" w:rsidRPr="00DD6B2D" w:rsidSect="00663AAE">
      <w:headerReference w:type="default" r:id="rId13"/>
      <w:headerReference w:type="first" r:id="rId14"/>
      <w:footerReference w:type="first" r:id="rId15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92F2" w14:textId="77777777" w:rsidR="0030794F" w:rsidRDefault="0030794F" w:rsidP="003160A6">
      <w:r>
        <w:separator/>
      </w:r>
    </w:p>
  </w:endnote>
  <w:endnote w:type="continuationSeparator" w:id="0">
    <w:p w14:paraId="3B438B8F" w14:textId="77777777" w:rsidR="0030794F" w:rsidRDefault="0030794F" w:rsidP="003160A6">
      <w:r>
        <w:continuationSeparator/>
      </w:r>
    </w:p>
  </w:endnote>
  <w:endnote w:id="1">
    <w:p w14:paraId="2FA620A2" w14:textId="069E54B5" w:rsidR="00856901" w:rsidRPr="009A2676" w:rsidRDefault="00856901" w:rsidP="00856901">
      <w:pPr>
        <w:pStyle w:val="Endnotentext"/>
        <w:rPr>
          <w:lang w:val="de-DE"/>
        </w:rPr>
      </w:pPr>
      <w:r>
        <w:rPr>
          <w:rStyle w:val="Endnotenzeichen"/>
        </w:rPr>
        <w:endnoteRef/>
      </w:r>
      <w:r>
        <w:t xml:space="preserve"> </w:t>
      </w:r>
      <w:r w:rsidR="00F74FAA" w:rsidRPr="00F74FAA">
        <w:t xml:space="preserve">OpenQASM steht für „Open Quantum Assembly Language“. </w:t>
      </w:r>
      <w:r w:rsidR="00F74FAA" w:rsidRPr="00F74FAA">
        <w:rPr>
          <w:lang w:val="de-DE"/>
        </w:rPr>
        <w:t xml:space="preserve">Es handelt sich um eine Programmierschnittstelle, die für die Kommunikation mit einem echten Quantencomputer und die Übermittlung von Befehlen an diesen entwickelt wurde. </w:t>
      </w:r>
      <w:r w:rsidR="000A0690">
        <w:rPr>
          <w:lang w:val="de-DE"/>
        </w:rPr>
        <w:t>Du kannst dir</w:t>
      </w:r>
      <w:r w:rsidR="00F74FAA" w:rsidRPr="009A2676">
        <w:rPr>
          <w:lang w:val="de-DE"/>
        </w:rPr>
        <w:t xml:space="preserve"> das folgende Tutorial </w:t>
      </w:r>
      <w:r w:rsidR="009A2676" w:rsidRPr="009A2676">
        <w:rPr>
          <w:lang w:val="de-DE"/>
        </w:rPr>
        <w:t xml:space="preserve">(auf </w:t>
      </w:r>
      <w:r w:rsidR="009A2676">
        <w:rPr>
          <w:lang w:val="de-DE"/>
        </w:rPr>
        <w:t xml:space="preserve">Englisch) </w:t>
      </w:r>
      <w:r w:rsidR="00F74FAA" w:rsidRPr="009A2676">
        <w:rPr>
          <w:lang w:val="de-DE"/>
        </w:rPr>
        <w:t>ansehen</w:t>
      </w:r>
      <w:r w:rsidRPr="009A2676">
        <w:rPr>
          <w:lang w:val="de-DE"/>
        </w:rPr>
        <w:t xml:space="preserve">: </w:t>
      </w:r>
      <w:hyperlink r:id="rId1" w:history="1">
        <w:r w:rsidRPr="009A2676">
          <w:rPr>
            <w:rStyle w:val="Hyperlink"/>
            <w:lang w:val="de-DE"/>
          </w:rPr>
          <w:t>Introduction to OpenQASM</w:t>
        </w:r>
      </w:hyperlink>
      <w:r w:rsidRPr="009A2676">
        <w:rPr>
          <w:lang w:val="de-D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28BC" w14:textId="77777777" w:rsidR="0030794F" w:rsidRDefault="0030794F" w:rsidP="003160A6">
      <w:r>
        <w:separator/>
      </w:r>
    </w:p>
  </w:footnote>
  <w:footnote w:type="continuationSeparator" w:id="0">
    <w:p w14:paraId="1B32FF7A" w14:textId="77777777" w:rsidR="0030794F" w:rsidRDefault="0030794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47D1F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1648B0"/>
    <w:multiLevelType w:val="multilevel"/>
    <w:tmpl w:val="8C9269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797D0C"/>
    <w:multiLevelType w:val="hybridMultilevel"/>
    <w:tmpl w:val="9EBC1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658B0"/>
    <w:multiLevelType w:val="hybridMultilevel"/>
    <w:tmpl w:val="5404A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508CC"/>
    <w:multiLevelType w:val="hybridMultilevel"/>
    <w:tmpl w:val="A440C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4394"/>
    <w:multiLevelType w:val="hybridMultilevel"/>
    <w:tmpl w:val="F52E9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5530"/>
    <w:multiLevelType w:val="hybridMultilevel"/>
    <w:tmpl w:val="9454D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05557"/>
    <w:multiLevelType w:val="hybridMultilevel"/>
    <w:tmpl w:val="376230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D3A77"/>
    <w:multiLevelType w:val="hybridMultilevel"/>
    <w:tmpl w:val="51B621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CFD"/>
    <w:multiLevelType w:val="multilevel"/>
    <w:tmpl w:val="A9826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6353E78"/>
    <w:multiLevelType w:val="hybridMultilevel"/>
    <w:tmpl w:val="C2584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87057"/>
    <w:multiLevelType w:val="hybridMultilevel"/>
    <w:tmpl w:val="F64A2EC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6"/>
  </w:num>
  <w:num w:numId="3" w16cid:durableId="1052995982">
    <w:abstractNumId w:val="4"/>
  </w:num>
  <w:num w:numId="4" w16cid:durableId="1317996672">
    <w:abstractNumId w:val="8"/>
  </w:num>
  <w:num w:numId="5" w16cid:durableId="940801495">
    <w:abstractNumId w:val="9"/>
  </w:num>
  <w:num w:numId="6" w16cid:durableId="1699425683">
    <w:abstractNumId w:val="12"/>
  </w:num>
  <w:num w:numId="7" w16cid:durableId="585268778">
    <w:abstractNumId w:val="3"/>
  </w:num>
  <w:num w:numId="8" w16cid:durableId="1526676979">
    <w:abstractNumId w:val="5"/>
  </w:num>
  <w:num w:numId="9" w16cid:durableId="262610234">
    <w:abstractNumId w:val="7"/>
  </w:num>
  <w:num w:numId="10" w16cid:durableId="291332268">
    <w:abstractNumId w:val="10"/>
  </w:num>
  <w:num w:numId="11" w16cid:durableId="1004432482">
    <w:abstractNumId w:val="2"/>
  </w:num>
  <w:num w:numId="12" w16cid:durableId="1158813631">
    <w:abstractNumId w:val="1"/>
  </w:num>
  <w:num w:numId="13" w16cid:durableId="732432483">
    <w:abstractNumId w:val="13"/>
  </w:num>
  <w:num w:numId="14" w16cid:durableId="1096636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13E3F"/>
    <w:rsid w:val="00064D71"/>
    <w:rsid w:val="00086F62"/>
    <w:rsid w:val="000A0690"/>
    <w:rsid w:val="000A418D"/>
    <w:rsid w:val="000A7CD1"/>
    <w:rsid w:val="000C469C"/>
    <w:rsid w:val="000C6CA9"/>
    <w:rsid w:val="000D7572"/>
    <w:rsid w:val="000E1DA1"/>
    <w:rsid w:val="000F6590"/>
    <w:rsid w:val="001239FB"/>
    <w:rsid w:val="0017629A"/>
    <w:rsid w:val="00190185"/>
    <w:rsid w:val="0019082B"/>
    <w:rsid w:val="001E3614"/>
    <w:rsid w:val="001E7490"/>
    <w:rsid w:val="001F0FA6"/>
    <w:rsid w:val="001F490E"/>
    <w:rsid w:val="002015BA"/>
    <w:rsid w:val="002177CB"/>
    <w:rsid w:val="00225312"/>
    <w:rsid w:val="002323D9"/>
    <w:rsid w:val="0026649C"/>
    <w:rsid w:val="0027724A"/>
    <w:rsid w:val="002819C6"/>
    <w:rsid w:val="00292FD1"/>
    <w:rsid w:val="002A6BEE"/>
    <w:rsid w:val="002B6E76"/>
    <w:rsid w:val="002E2180"/>
    <w:rsid w:val="00304170"/>
    <w:rsid w:val="0030794F"/>
    <w:rsid w:val="00314951"/>
    <w:rsid w:val="003160A6"/>
    <w:rsid w:val="003858AF"/>
    <w:rsid w:val="003A7ABB"/>
    <w:rsid w:val="003B26BB"/>
    <w:rsid w:val="003B3842"/>
    <w:rsid w:val="004157F6"/>
    <w:rsid w:val="004327F8"/>
    <w:rsid w:val="00437152"/>
    <w:rsid w:val="00440B70"/>
    <w:rsid w:val="00444C77"/>
    <w:rsid w:val="00446DEF"/>
    <w:rsid w:val="00483608"/>
    <w:rsid w:val="00495E52"/>
    <w:rsid w:val="004A1C63"/>
    <w:rsid w:val="004A7502"/>
    <w:rsid w:val="004D26B1"/>
    <w:rsid w:val="004D308C"/>
    <w:rsid w:val="0050355A"/>
    <w:rsid w:val="00505497"/>
    <w:rsid w:val="005316AD"/>
    <w:rsid w:val="00547FAB"/>
    <w:rsid w:val="00590178"/>
    <w:rsid w:val="00593213"/>
    <w:rsid w:val="005C597D"/>
    <w:rsid w:val="006278FE"/>
    <w:rsid w:val="00652FFC"/>
    <w:rsid w:val="00660B76"/>
    <w:rsid w:val="00663AAE"/>
    <w:rsid w:val="00672279"/>
    <w:rsid w:val="00683003"/>
    <w:rsid w:val="00687832"/>
    <w:rsid w:val="006A1669"/>
    <w:rsid w:val="006B0309"/>
    <w:rsid w:val="006B5704"/>
    <w:rsid w:val="006C5CF8"/>
    <w:rsid w:val="006E72D2"/>
    <w:rsid w:val="006F330B"/>
    <w:rsid w:val="00702CEC"/>
    <w:rsid w:val="00702F7F"/>
    <w:rsid w:val="00711820"/>
    <w:rsid w:val="00720F1E"/>
    <w:rsid w:val="00751B9B"/>
    <w:rsid w:val="007802A9"/>
    <w:rsid w:val="007D3FF5"/>
    <w:rsid w:val="007D5DFC"/>
    <w:rsid w:val="007E3295"/>
    <w:rsid w:val="00811767"/>
    <w:rsid w:val="00856901"/>
    <w:rsid w:val="008768B5"/>
    <w:rsid w:val="00877D5B"/>
    <w:rsid w:val="00880467"/>
    <w:rsid w:val="0088184D"/>
    <w:rsid w:val="00881DE0"/>
    <w:rsid w:val="008B105E"/>
    <w:rsid w:val="008C5DB3"/>
    <w:rsid w:val="008D30C7"/>
    <w:rsid w:val="00900547"/>
    <w:rsid w:val="00935E71"/>
    <w:rsid w:val="00935FE8"/>
    <w:rsid w:val="00936246"/>
    <w:rsid w:val="009813AD"/>
    <w:rsid w:val="00996B3B"/>
    <w:rsid w:val="009A2676"/>
    <w:rsid w:val="009A7233"/>
    <w:rsid w:val="009B65AF"/>
    <w:rsid w:val="009E1278"/>
    <w:rsid w:val="009E3D1D"/>
    <w:rsid w:val="00A61D9C"/>
    <w:rsid w:val="00A82D8A"/>
    <w:rsid w:val="00AE7E7F"/>
    <w:rsid w:val="00AF495D"/>
    <w:rsid w:val="00B35E66"/>
    <w:rsid w:val="00B711AF"/>
    <w:rsid w:val="00B82B26"/>
    <w:rsid w:val="00BC1FD6"/>
    <w:rsid w:val="00BC38E1"/>
    <w:rsid w:val="00BD6453"/>
    <w:rsid w:val="00BE4371"/>
    <w:rsid w:val="00BF16BD"/>
    <w:rsid w:val="00C555D7"/>
    <w:rsid w:val="00C72868"/>
    <w:rsid w:val="00C7568C"/>
    <w:rsid w:val="00C838E5"/>
    <w:rsid w:val="00CA5271"/>
    <w:rsid w:val="00CE7005"/>
    <w:rsid w:val="00CF148B"/>
    <w:rsid w:val="00CF7CFE"/>
    <w:rsid w:val="00CF7E08"/>
    <w:rsid w:val="00D41C74"/>
    <w:rsid w:val="00D534F1"/>
    <w:rsid w:val="00DA3D67"/>
    <w:rsid w:val="00DB3619"/>
    <w:rsid w:val="00DD6B2D"/>
    <w:rsid w:val="00DE7FC5"/>
    <w:rsid w:val="00DF6093"/>
    <w:rsid w:val="00E17D00"/>
    <w:rsid w:val="00E67328"/>
    <w:rsid w:val="00E810FF"/>
    <w:rsid w:val="00E875AF"/>
    <w:rsid w:val="00EC7434"/>
    <w:rsid w:val="00EF4BA8"/>
    <w:rsid w:val="00F24F3F"/>
    <w:rsid w:val="00F27241"/>
    <w:rsid w:val="00F2740A"/>
    <w:rsid w:val="00F32995"/>
    <w:rsid w:val="00F32FAB"/>
    <w:rsid w:val="00F74CF4"/>
    <w:rsid w:val="00F74FA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paragraph" w:customStyle="1" w:styleId="LO-normal">
    <w:name w:val="LO-normal"/>
    <w:qFormat/>
    <w:rsid w:val="000F6590"/>
    <w:pPr>
      <w:suppressAutoHyphens/>
    </w:pPr>
    <w:rPr>
      <w:rFonts w:cs="Calibri"/>
      <w:sz w:val="21"/>
      <w:szCs w:val="21"/>
      <w:lang w:val="en-US" w:eastAsia="zh-CN" w:bidi="hi-IN"/>
    </w:rPr>
  </w:style>
  <w:style w:type="character" w:styleId="Hyperlink">
    <w:name w:val="Hyperlink"/>
    <w:basedOn w:val="Absatz-Standardschriftart"/>
    <w:uiPriority w:val="99"/>
    <w:unhideWhenUsed/>
    <w:rsid w:val="00652F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FF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74CF4"/>
    <w:pPr>
      <w:spacing w:after="0" w:line="240" w:lineRule="auto"/>
    </w:pPr>
    <w:rPr>
      <w:rFonts w:cs="Calibri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74CF4"/>
    <w:rPr>
      <w:rFonts w:cs="Calibri"/>
      <w:lang w:val="en-GB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F74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-de.quantum.cloud.ibm.com/compos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antum.ibm.com/compos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uantum.cloud.ibm.com/docs/de/guides/introduction-to-qa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77663-E6A5-4739-91B5-1AC9AF96A3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3</cp:revision>
  <cp:lastPrinted>2018-08-23T12:58:00Z</cp:lastPrinted>
  <dcterms:created xsi:type="dcterms:W3CDTF">2026-05-13T08:03:00Z</dcterms:created>
  <dcterms:modified xsi:type="dcterms:W3CDTF">2026-05-13T08:15:00Z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